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2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2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2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27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2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27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27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27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27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821805" cy="0"/>
                <wp:effectExtent l="0" t="0" r="0" b="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2180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517.2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2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078"/>
        <w:jc w:val="center"/>
        <w:spacing w:before="0" w:beforeAutospacing="0" w:after="0" w:afterAutospacing="0"/>
        <w:shd w:val="clear" w:color="auto" w:fill="ffffff"/>
        <w:rPr>
          <w:rStyle w:val="1079"/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промышленных предприятий Удмуртии</w:t>
      </w:r>
      <w:r>
        <w:rPr>
          <w:rStyle w:val="1079"/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Style w:val="1079"/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1078"/>
        <w:jc w:val="center"/>
        <w:spacing w:before="0" w:beforeAutospacing="0" w:after="0" w:afterAutospacing="0"/>
        <w:shd w:val="clear" w:color="auto" w:fill="ffffff"/>
        <w:rPr>
          <w:rStyle w:val="1079"/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за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январь-март 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20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2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5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 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год</w:t>
      </w:r>
      <w:r>
        <w:rPr>
          <w:rStyle w:val="107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а</w:t>
      </w:r>
      <w:r>
        <w:rPr>
          <w:rStyle w:val="1079"/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Style w:val="1079"/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pStyle w:val="1078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27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январь-март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2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январь-март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331,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млрд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120,1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января-марта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 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112,6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11,5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(101,1 %)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занимает 1 место в ПФО и вх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одит в ТОП-10 в Российской Федерации по ИПП.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2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214,5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148,6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132,2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ТОП-3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общероссийского на 27,5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процентный пункт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104,7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64,7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27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870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автотранспортных средств, прицепов и полуприцепов – в 4 раза;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70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готовых металлических изделий – 133,5 %;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70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компьютеров, электронных и оптических изделий – в 2,2 раза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70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прочих транспортных средств и оборудования – в 2,6 раза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70"/>
        <w:numPr>
          <w:ilvl w:val="0"/>
          <w:numId w:val="79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машин и оборудования – 105,6 %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Помимо машиностроительного комплекса положительные результаты отразили такие отрасли как: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870"/>
        <w:numPr>
          <w:ilvl w:val="0"/>
          <w:numId w:val="80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кожи и изделий из кожи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107,2 %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870"/>
        <w:numPr>
          <w:ilvl w:val="0"/>
          <w:numId w:val="80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роизводство мебели – 101,4 %;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870"/>
        <w:numPr>
          <w:ilvl w:val="0"/>
          <w:numId w:val="80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01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,2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870"/>
        <w:numPr>
          <w:ilvl w:val="0"/>
          <w:numId w:val="80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роизводство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прочей неметаллической минеральной продукции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102,8 %.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ind w:left="0" w:firstLine="0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Style w:val="102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Основными предприятиями оказывающие значительное влияние на положительную динамику данных отраслей благодаря своим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высоким показателям по итогам января-марта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продемонстрировали следующие предприятия: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«ИЭМЗ «Купол»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«Воткинский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мотозавод «Аксион-Холдинг»,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«Концерн «Калашников»,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ПАО «Ижсталь»,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«ЧМЗ»,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группа предприятий «Увадрев-Холдинг»,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«СЭГЗ»,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АО «Ижевский механический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«Свет»,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«Сарапульский радиозавод»,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«Глазов. Электрон»,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«Ижевское предприятие «Спутник им. Исаенко Е.М.»,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«ИРЗ»,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ПАО «Ижнефтемаш»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«Ижевский завод пластмасс»,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«Глазовская мебельная фабрика»,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АО МДНП «Красная звезда»,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«Глазовский завод «Металлист»,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br/>
        <w:t xml:space="preserve">АО «Можгинский лесокомбинат»,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«Завод нефтегазового оборудования «Техновек»,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«ЭТЗ «Вектор»,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«ИОМЗ»,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ОАО «НИТИ «Прогресс»,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  <w:br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АО «КБЭ ХХI века»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«Энергоремонт»,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«Орион»,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ЗАО «ИЗМФ «ФМС»,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«Новый дом»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«ПО Камбарский машиностроительный завод»,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«Ижевский завод кирпича и керамзита»,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ЗАО «Можхим»,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ООО «Завод железобетонных изделий».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0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29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96,2 млрд.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84,5 %.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93,4 %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В Сарапуле спроектированы и изготовлены важные детали для самолета, на котором летает президент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«Конструкторское бюро электроизделий XXI века» более 60 лет успешно решает задачи по разработке, изготовлению и испытаниям изделий для авиационной промышленности. Предприятие знаменательно тем, что имеет свою конструкторскую и технологическую базу.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«КБЭ XXI века» постоянно идет в ногу со временем. Вот и сейчас на предприятии идет очередное обновление. Сварочный цех обновился на 90% и сборочный участок, где оборудование и мебель сменились практически на 100%. Н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овый корпус под расширением производства достраивается. Все обновления помогут «КБЭ XXI века» увеличить темпы и качество производства. Многое оснащение на участках сделано специально под уникальные технологии производства продукции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предприятия, часть изготовлено самим предприятием. Важно, что большей частью новое оборудование – российского производства.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</w:t>
        <w:tab/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родукция предприятия также регулярно обновляется, появляются новые образцы. Так, при производстве светотехники для самолетов и вертолетов, вместо лампы накаливания, теперь используется более современная и экономичная диодная лампа. Предприятие успешно идет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по пути импортонезависимости. Здесь разработаны и изготовлены системы стеклоотчистки, которые заменили популярные иностранные аналоги. Такие системы уже устанавливаются на современную российскую авиатехнику.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Нельзя не отметить работу предприятия в рамках федерального проекта «Производительность труда». «КБЭ XXI века» одним из первых начала внедрять принципы бережливого производства. Система по-прежнему действует и самостоятельно развивается.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Можно с уверенностью назвать «КБЭ XXI века» эталонным предприятием, с полным технологическим циклом. При этом здесь не стоят на месте и уже строят планы по дальнейшему расширению производства.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Кадры для предприятий промышленности Удмуртии - приоритетная задача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роблема нехватки специалистов рабочих профессий постепенно уходит на второй план. На конец января 2025 года в промышленности занято 154,9 тыс. жителей республики, рост к аналогичному периоду 2024 года составил 4,8%. Этому способствовал рост объемов промышл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е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нного производства. Тем не менее, на сегодняшний день потребность организаций промышленности составляет более 4,9 тысяч человек, из этого числа 3,8 тыс человек - потребность предприятий ОПК. Важной проблемой остаётся привлечение высококвалифицированных спе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циалистов.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И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менно этому аспекту посвящен кадровый спецпроект ТПП Удмуртии, который обсудили на совещании. Его главная цель – сформировать интерес у высококвалифицированных специалистов к рынку труда Удмуртии и предложениям конкретных работодателей и повысить привлекат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ельность нашего региона как места для труда и постоянного проживания рабочих и их семей.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Планируется привлекать высококвалифицированных специалистов из других регионов РФ, в первую очередь, с относительно высокой безработицей. Переобучиться на рабочие специально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сти с последующим трудоустройством будет предложено военным пенсионерам, неработающим гражданам, специалистам различных категорий.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НПО «Вакуммаш» приближает страну к импортонезависимости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Недавно предприятие отметило 30-летие. За годы работы специалистами «Вакууммаша» созданы десятки аналогов импортных датчиков давления, которые не уступают по своим характеристикам иностранным. При этом на предприятии непрерывно идет работа над новыми проект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ами, внедряются современные технологии.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К примеру, здесь разработали прибор для измерения температуры в танках и ёмкостях хранения нефтепродуктов на разных уровнях - многозонный датчик температуры гибкого исполнения. При этом удалось заменить импортные датчики с сохранением всех технических и кач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ественных характеристик.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Команда из Удмуртии «Тылобурдо» («ГК Беспилотные системы») – финалист всероссийского конкурса Кибердром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Команда «Тылобурдо» – единственная из четырех команд Удмуртской Республики вышла в финал. За два соревновательных дня ребята проявили недюжинную выдержку, показали отличный результат в пилотировании коптерами и катером на воздушной подушке и представили сво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й инженерный проект на суд жюри.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Как результат, 2 место занял капитан команды Эльдар на конкурсе инженерных проектов «Формируем будущее». В итоговой расстановке команда оказалась на почетном 4 месте.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 конкурсе команда «Тылобурдо» участвовала впервые и практически во всех испытаниях показывала высокие результаты.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В России продолжается поэтапный ввод маркировки пива, пивных и слабоалкогольных напитков в соответствии с Постановлением Правительства Российской Федерации № 2173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left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Производители и импортеры пива и слабоалкогольных напитков в потребительской упаковке с 1 мая 2025 года должны сообщать в «Честный знак» сведения о вводе в оборот данной продукции.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 1 сентября 2025 года начнется поэкземплярный учет пива и слабоалкогольных напитков в потребительской упаковке. При этом участники оборота пива и слабоалкогольных напитков будут обязаны сообщать в «Честный знак» сведения о выводе из оборота данной продукци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и.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Организациям и индивидуальным предпринимателям необходимо соблюдать правила обязательной маркировки пива и слабоалкогольных напитков в потребительской упаковке, в соответствии с действующим законодательством.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Минпромторг РФ объявил о старте отбора на получение субсидии организациям обрабатывающей промышленности на возмещение затрат, связанных с роботизацией производства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 помощью субсидии организации обрабатывающей промышленности могут вернуть до 20% затрат на внедрение промышленной робототехники, введенной в эксплуатацию в текущем году.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Промышленная робототехника должна классифицироваться одним и (или) несколькими кодами ОКПД 2: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28.99.39.200 (промышленные роботы и робототехнические устройства);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28.99.39.210 (промышленные роботы);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28.99.39.213 (промышленные транспортные роботы);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28.99.39.220 (промышленные робототехнические комплексы);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28.99.39.230 (промышленные робототехнические ячейки);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28.99.39.240 (промышленные роботизированные линии);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28.99.39.290 (промышленные роботы и робототехнические устройства прочие, не включенные в другие группировки).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Дополнительные требования к промышленной робототехнике: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договор о внедрении заключен не ранее 1 января 2024 года;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 договоре о внедрении определены расходы на приобретение промышленной робототехники и (или) оказание услуг на внедрение промышленной робототехники;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внедрение промышленной робототехники должно быть осуществлено на производственной площадке получателя субсидии, расположенной на территории РФ;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внедрение промышленной робототехники должно быть осуществлено не ранее 1 января 2025 года и подтверждено товарной накладной по форме ТОРГ-12 или универсальным передаточным документом и актом ввода в эксплуатацию промышленной робототехники;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на промышленную робототехнику не предоставляются или не предоставлялись иные меры государственной поддержки;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получатель субсидии и интегратор не являются аффилированными лицами;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договор о внедрении не заключен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Заявки на получение субсидии принимаются до 30 мая 2025 года.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Узнать подробную информацию и подать документы можно на сайте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hyperlink r:id="rId12" w:tooltip="https://gisp.gov.ru/nmp/measure/12448821" w:history="1">
        <w:r>
          <w:rPr>
            <w:rStyle w:val="1046"/>
            <w:rFonts w:ascii="PT Astra Serif" w:hAnsi="PT Astra Serif" w:cs="PT Astra Serif"/>
            <w:sz w:val="28"/>
            <w:szCs w:val="28"/>
            <w:highlight w:val="none"/>
          </w:rPr>
          <w:t xml:space="preserve">https://gisp.gov.ru/nmp/measure/12448821</w:t>
        </w:r>
        <w:r>
          <w:rPr>
            <w:rStyle w:val="1046"/>
            <w:rFonts w:ascii="PT Astra Serif" w:hAnsi="PT Astra Serif" w:cs="PT Astra Serif"/>
            <w:sz w:val="28"/>
            <w:szCs w:val="28"/>
            <w:highlight w:val="none"/>
          </w:rPr>
        </w:r>
      </w:hyperlink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/>
          <w:bCs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Возврат обеспечения исполнения контракта по 44-ФЗ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Согласно Закону №44-ФЗ, заказчик обязан вернуть поставщику денежные средства, внесенные в качестве обеспечения исполнения контракта. Однако заявление на возврат требуется не всегда.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Если контракт исполнен полностью, заявление о возврате обеспечения не требуется. В этом случае деньги возвращаются в следующие сроки: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30 дней с даты исполнения обязательств (общий случай);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15 дней, если закупка с преимуществом СМП, СОНКО.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Заявление требуется только в случае частичного возврата средств при уменьшении размера обеспечения исполнения контракта, что происходит при исполнении одного из этапов контракта. Уменьшение размера обеспечения производится пропорционально стоимости исполнен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ных обязательств.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Приемка и оплата осуществляются в порядке и сроки, предусмотренные контрактом (часть 7.2 статьи 96 Закона №44-ФЗ).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За нарушение требований к порядку либо сроку возврата денежных средств, влечет наложение административного штрафа на должностных лиц в размере 1% от суммы денежных средств, внесенных в качестве обеспечения исполнения контракта, но не менее 5 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  <w:t xml:space="preserve">тысяч и не более 30 тысяч рублей.</w:t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rPr>
        <w:rStyle w:val="1072"/>
      </w:rPr>
      <w:framePr w:wrap="around" w:vAnchor="text" w:hAnchor="margin" w:xAlign="right" w:y="1"/>
    </w:pPr>
    <w:r>
      <w:rPr>
        <w:rStyle w:val="1072"/>
      </w:rPr>
      <w:fldChar w:fldCharType="begin"/>
    </w:r>
    <w:r>
      <w:rPr>
        <w:rStyle w:val="1072"/>
      </w:rPr>
      <w:instrText xml:space="preserve">PAGE  </w:instrText>
    </w:r>
    <w:r>
      <w:rPr>
        <w:rStyle w:val="1072"/>
      </w:rPr>
      <w:fldChar w:fldCharType="separate"/>
    </w:r>
    <w:r>
      <w:rPr>
        <w:rStyle w:val="1072"/>
      </w:rPr>
      <w:t xml:space="preserve">5</w:t>
    </w:r>
    <w:r>
      <w:rPr>
        <w:rStyle w:val="1072"/>
      </w:rPr>
      <w:fldChar w:fldCharType="end"/>
    </w:r>
    <w:r>
      <w:rPr>
        <w:rStyle w:val="1072"/>
      </w:rPr>
    </w:r>
    <w:r>
      <w:rPr>
        <w:rStyle w:val="1072"/>
      </w:rPr>
    </w:r>
  </w:p>
  <w:p>
    <w:pPr>
      <w:pStyle w:val="106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27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2">
    <w:name w:val="Heading 1"/>
    <w:basedOn w:val="1027"/>
    <w:next w:val="1027"/>
    <w:link w:val="8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53">
    <w:name w:val="Heading 1 Char"/>
    <w:link w:val="852"/>
    <w:uiPriority w:val="9"/>
    <w:rPr>
      <w:rFonts w:ascii="Arial" w:hAnsi="Arial" w:eastAsia="Arial" w:cs="Arial"/>
      <w:sz w:val="40"/>
      <w:szCs w:val="40"/>
    </w:rPr>
  </w:style>
  <w:style w:type="paragraph" w:styleId="854">
    <w:name w:val="Heading 2"/>
    <w:basedOn w:val="1027"/>
    <w:next w:val="1027"/>
    <w:link w:val="8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5">
    <w:name w:val="Heading 2 Char"/>
    <w:link w:val="854"/>
    <w:uiPriority w:val="9"/>
    <w:rPr>
      <w:rFonts w:ascii="Arial" w:hAnsi="Arial" w:eastAsia="Arial" w:cs="Arial"/>
      <w:sz w:val="34"/>
    </w:rPr>
  </w:style>
  <w:style w:type="paragraph" w:styleId="856">
    <w:name w:val="Heading 3"/>
    <w:basedOn w:val="1027"/>
    <w:next w:val="1027"/>
    <w:link w:val="8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57">
    <w:name w:val="Heading 3 Char"/>
    <w:link w:val="856"/>
    <w:uiPriority w:val="9"/>
    <w:rPr>
      <w:rFonts w:ascii="Arial" w:hAnsi="Arial" w:eastAsia="Arial" w:cs="Arial"/>
      <w:sz w:val="30"/>
      <w:szCs w:val="30"/>
    </w:rPr>
  </w:style>
  <w:style w:type="paragraph" w:styleId="858">
    <w:name w:val="Heading 4"/>
    <w:basedOn w:val="1027"/>
    <w:next w:val="1027"/>
    <w:link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9">
    <w:name w:val="Heading 4 Char"/>
    <w:link w:val="858"/>
    <w:uiPriority w:val="9"/>
    <w:rPr>
      <w:rFonts w:ascii="Arial" w:hAnsi="Arial" w:eastAsia="Arial" w:cs="Arial"/>
      <w:b/>
      <w:bCs/>
      <w:sz w:val="26"/>
      <w:szCs w:val="26"/>
    </w:rPr>
  </w:style>
  <w:style w:type="paragraph" w:styleId="860">
    <w:name w:val="Heading 5"/>
    <w:basedOn w:val="1027"/>
    <w:next w:val="1027"/>
    <w:link w:val="8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1">
    <w:name w:val="Heading 5 Char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862">
    <w:name w:val="Heading 6"/>
    <w:basedOn w:val="1027"/>
    <w:next w:val="1027"/>
    <w:link w:val="8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3">
    <w:name w:val="Heading 6 Char"/>
    <w:link w:val="862"/>
    <w:uiPriority w:val="9"/>
    <w:rPr>
      <w:rFonts w:ascii="Arial" w:hAnsi="Arial" w:eastAsia="Arial" w:cs="Arial"/>
      <w:b/>
      <w:bCs/>
      <w:sz w:val="22"/>
      <w:szCs w:val="22"/>
    </w:rPr>
  </w:style>
  <w:style w:type="paragraph" w:styleId="864">
    <w:name w:val="Heading 7"/>
    <w:basedOn w:val="1027"/>
    <w:next w:val="1027"/>
    <w:link w:val="8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5">
    <w:name w:val="Heading 7 Char"/>
    <w:link w:val="8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6">
    <w:name w:val="Heading 8"/>
    <w:basedOn w:val="1027"/>
    <w:next w:val="1027"/>
    <w:link w:val="8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7">
    <w:name w:val="Heading 8 Char"/>
    <w:link w:val="866"/>
    <w:uiPriority w:val="9"/>
    <w:rPr>
      <w:rFonts w:ascii="Arial" w:hAnsi="Arial" w:eastAsia="Arial" w:cs="Arial"/>
      <w:i/>
      <w:iCs/>
      <w:sz w:val="22"/>
      <w:szCs w:val="22"/>
    </w:rPr>
  </w:style>
  <w:style w:type="paragraph" w:styleId="868">
    <w:name w:val="Heading 9"/>
    <w:basedOn w:val="1027"/>
    <w:next w:val="1027"/>
    <w:link w:val="8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9">
    <w:name w:val="Heading 9 Char"/>
    <w:link w:val="868"/>
    <w:uiPriority w:val="9"/>
    <w:rPr>
      <w:rFonts w:ascii="Arial" w:hAnsi="Arial" w:eastAsia="Arial" w:cs="Arial"/>
      <w:i/>
      <w:iCs/>
      <w:sz w:val="21"/>
      <w:szCs w:val="21"/>
    </w:rPr>
  </w:style>
  <w:style w:type="paragraph" w:styleId="870">
    <w:name w:val="List Paragraph"/>
    <w:basedOn w:val="1027"/>
    <w:uiPriority w:val="34"/>
    <w:qFormat/>
    <w:pPr>
      <w:contextualSpacing/>
      <w:ind w:left="720"/>
    </w:pPr>
  </w:style>
  <w:style w:type="paragraph" w:styleId="871">
    <w:name w:val="No Spacing"/>
    <w:uiPriority w:val="1"/>
    <w:qFormat/>
    <w:pPr>
      <w:spacing w:before="0" w:after="0" w:line="240" w:lineRule="auto"/>
    </w:pPr>
  </w:style>
  <w:style w:type="character" w:styleId="872">
    <w:name w:val="Title Char"/>
    <w:link w:val="1101"/>
    <w:uiPriority w:val="10"/>
    <w:rPr>
      <w:sz w:val="48"/>
      <w:szCs w:val="48"/>
    </w:rPr>
  </w:style>
  <w:style w:type="paragraph" w:styleId="873">
    <w:name w:val="Subtitle"/>
    <w:basedOn w:val="1027"/>
    <w:next w:val="1027"/>
    <w:link w:val="874"/>
    <w:uiPriority w:val="11"/>
    <w:qFormat/>
    <w:pPr>
      <w:spacing w:before="200" w:after="200"/>
    </w:pPr>
    <w:rPr>
      <w:sz w:val="24"/>
      <w:szCs w:val="24"/>
    </w:rPr>
  </w:style>
  <w:style w:type="character" w:styleId="874">
    <w:name w:val="Subtitle Char"/>
    <w:link w:val="873"/>
    <w:uiPriority w:val="11"/>
    <w:rPr>
      <w:sz w:val="24"/>
      <w:szCs w:val="24"/>
    </w:rPr>
  </w:style>
  <w:style w:type="paragraph" w:styleId="875">
    <w:name w:val="Quote"/>
    <w:basedOn w:val="1027"/>
    <w:next w:val="1027"/>
    <w:link w:val="876"/>
    <w:uiPriority w:val="29"/>
    <w:qFormat/>
    <w:pPr>
      <w:ind w:left="720" w:right="720"/>
    </w:pPr>
    <w:rPr>
      <w:i/>
    </w:rPr>
  </w:style>
  <w:style w:type="character" w:styleId="876">
    <w:name w:val="Quote Char"/>
    <w:link w:val="875"/>
    <w:uiPriority w:val="29"/>
    <w:rPr>
      <w:i/>
    </w:rPr>
  </w:style>
  <w:style w:type="paragraph" w:styleId="877">
    <w:name w:val="Intense Quote"/>
    <w:basedOn w:val="1027"/>
    <w:next w:val="1027"/>
    <w:link w:val="8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8">
    <w:name w:val="Intense Quote Char"/>
    <w:link w:val="877"/>
    <w:uiPriority w:val="30"/>
    <w:rPr>
      <w:i/>
    </w:rPr>
  </w:style>
  <w:style w:type="character" w:styleId="879">
    <w:name w:val="Header Char"/>
    <w:link w:val="1100"/>
    <w:uiPriority w:val="99"/>
  </w:style>
  <w:style w:type="paragraph" w:styleId="880">
    <w:name w:val="Footer"/>
    <w:basedOn w:val="1027"/>
    <w:link w:val="8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81">
    <w:name w:val="Footer Char"/>
    <w:link w:val="880"/>
    <w:uiPriority w:val="99"/>
  </w:style>
  <w:style w:type="character" w:styleId="882">
    <w:name w:val="Caption Char"/>
    <w:basedOn w:val="1105"/>
    <w:link w:val="880"/>
    <w:uiPriority w:val="99"/>
  </w:style>
  <w:style w:type="table" w:styleId="88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9">
    <w:name w:val="Hyperlink"/>
    <w:uiPriority w:val="99"/>
    <w:unhideWhenUsed/>
    <w:rPr>
      <w:color w:val="0000ff" w:themeColor="hyperlink"/>
      <w:u w:val="single"/>
    </w:rPr>
  </w:style>
  <w:style w:type="paragraph" w:styleId="1010">
    <w:name w:val="footnote text"/>
    <w:basedOn w:val="1027"/>
    <w:link w:val="1011"/>
    <w:uiPriority w:val="99"/>
    <w:semiHidden/>
    <w:unhideWhenUsed/>
    <w:pPr>
      <w:spacing w:after="40" w:line="240" w:lineRule="auto"/>
    </w:pPr>
    <w:rPr>
      <w:sz w:val="18"/>
    </w:rPr>
  </w:style>
  <w:style w:type="character" w:styleId="1011">
    <w:name w:val="Footnote Text Char"/>
    <w:link w:val="1010"/>
    <w:uiPriority w:val="99"/>
    <w:rPr>
      <w:sz w:val="18"/>
    </w:rPr>
  </w:style>
  <w:style w:type="character" w:styleId="1012">
    <w:name w:val="footnote reference"/>
    <w:uiPriority w:val="99"/>
    <w:unhideWhenUsed/>
    <w:rPr>
      <w:vertAlign w:val="superscript"/>
    </w:rPr>
  </w:style>
  <w:style w:type="paragraph" w:styleId="1013">
    <w:name w:val="endnote text"/>
    <w:basedOn w:val="1027"/>
    <w:link w:val="1014"/>
    <w:uiPriority w:val="99"/>
    <w:semiHidden/>
    <w:unhideWhenUsed/>
    <w:pPr>
      <w:spacing w:after="0" w:line="240" w:lineRule="auto"/>
    </w:pPr>
    <w:rPr>
      <w:sz w:val="20"/>
    </w:rPr>
  </w:style>
  <w:style w:type="character" w:styleId="1014">
    <w:name w:val="Endnote Text Char"/>
    <w:link w:val="1013"/>
    <w:uiPriority w:val="99"/>
    <w:rPr>
      <w:sz w:val="20"/>
    </w:rPr>
  </w:style>
  <w:style w:type="character" w:styleId="1015">
    <w:name w:val="endnote reference"/>
    <w:uiPriority w:val="99"/>
    <w:semiHidden/>
    <w:unhideWhenUsed/>
    <w:rPr>
      <w:vertAlign w:val="superscript"/>
    </w:rPr>
  </w:style>
  <w:style w:type="paragraph" w:styleId="1016">
    <w:name w:val="toc 1"/>
    <w:basedOn w:val="1027"/>
    <w:next w:val="1027"/>
    <w:uiPriority w:val="39"/>
    <w:unhideWhenUsed/>
    <w:pPr>
      <w:ind w:left="0" w:right="0" w:firstLine="0"/>
      <w:spacing w:after="57"/>
    </w:pPr>
  </w:style>
  <w:style w:type="paragraph" w:styleId="1017">
    <w:name w:val="toc 2"/>
    <w:basedOn w:val="1027"/>
    <w:next w:val="1027"/>
    <w:uiPriority w:val="39"/>
    <w:unhideWhenUsed/>
    <w:pPr>
      <w:ind w:left="283" w:right="0" w:firstLine="0"/>
      <w:spacing w:after="57"/>
    </w:pPr>
  </w:style>
  <w:style w:type="paragraph" w:styleId="1018">
    <w:name w:val="toc 3"/>
    <w:basedOn w:val="1027"/>
    <w:next w:val="1027"/>
    <w:uiPriority w:val="39"/>
    <w:unhideWhenUsed/>
    <w:pPr>
      <w:ind w:left="567" w:right="0" w:firstLine="0"/>
      <w:spacing w:after="57"/>
    </w:pPr>
  </w:style>
  <w:style w:type="paragraph" w:styleId="1019">
    <w:name w:val="toc 4"/>
    <w:basedOn w:val="1027"/>
    <w:next w:val="1027"/>
    <w:uiPriority w:val="39"/>
    <w:unhideWhenUsed/>
    <w:pPr>
      <w:ind w:left="850" w:right="0" w:firstLine="0"/>
      <w:spacing w:after="57"/>
    </w:pPr>
  </w:style>
  <w:style w:type="paragraph" w:styleId="1020">
    <w:name w:val="toc 5"/>
    <w:basedOn w:val="1027"/>
    <w:next w:val="1027"/>
    <w:uiPriority w:val="39"/>
    <w:unhideWhenUsed/>
    <w:pPr>
      <w:ind w:left="1134" w:right="0" w:firstLine="0"/>
      <w:spacing w:after="57"/>
    </w:pPr>
  </w:style>
  <w:style w:type="paragraph" w:styleId="1021">
    <w:name w:val="toc 6"/>
    <w:basedOn w:val="1027"/>
    <w:next w:val="1027"/>
    <w:uiPriority w:val="39"/>
    <w:unhideWhenUsed/>
    <w:pPr>
      <w:ind w:left="1417" w:right="0" w:firstLine="0"/>
      <w:spacing w:after="57"/>
    </w:pPr>
  </w:style>
  <w:style w:type="paragraph" w:styleId="1022">
    <w:name w:val="toc 7"/>
    <w:basedOn w:val="1027"/>
    <w:next w:val="1027"/>
    <w:uiPriority w:val="39"/>
    <w:unhideWhenUsed/>
    <w:pPr>
      <w:ind w:left="1701" w:right="0" w:firstLine="0"/>
      <w:spacing w:after="57"/>
    </w:pPr>
  </w:style>
  <w:style w:type="paragraph" w:styleId="1023">
    <w:name w:val="toc 8"/>
    <w:basedOn w:val="1027"/>
    <w:next w:val="1027"/>
    <w:uiPriority w:val="39"/>
    <w:unhideWhenUsed/>
    <w:pPr>
      <w:ind w:left="1984" w:right="0" w:firstLine="0"/>
      <w:spacing w:after="57"/>
    </w:pPr>
  </w:style>
  <w:style w:type="paragraph" w:styleId="1024">
    <w:name w:val="toc 9"/>
    <w:basedOn w:val="1027"/>
    <w:next w:val="1027"/>
    <w:uiPriority w:val="39"/>
    <w:unhideWhenUsed/>
    <w:pPr>
      <w:ind w:left="2268" w:right="0" w:firstLine="0"/>
      <w:spacing w:after="57"/>
    </w:pPr>
  </w:style>
  <w:style w:type="paragraph" w:styleId="1025">
    <w:name w:val="TOC Heading"/>
    <w:uiPriority w:val="39"/>
    <w:unhideWhenUsed/>
  </w:style>
  <w:style w:type="paragraph" w:styleId="1026">
    <w:name w:val="table of figures"/>
    <w:basedOn w:val="1027"/>
    <w:next w:val="1027"/>
    <w:uiPriority w:val="99"/>
    <w:unhideWhenUsed/>
    <w:pPr>
      <w:spacing w:after="0" w:afterAutospacing="0"/>
    </w:pPr>
  </w:style>
  <w:style w:type="paragraph" w:styleId="1027" w:default="1">
    <w:name w:val="Normal"/>
    <w:next w:val="1027"/>
    <w:link w:val="1027"/>
    <w:qFormat/>
    <w:rPr>
      <w:lang w:val="ru-RU" w:eastAsia="ar-SA" w:bidi="ar-SA"/>
    </w:rPr>
  </w:style>
  <w:style w:type="paragraph" w:styleId="1028">
    <w:name w:val="Заголовок 1"/>
    <w:basedOn w:val="1027"/>
    <w:next w:val="1027"/>
    <w:link w:val="1095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29">
    <w:name w:val="Заголовок 2"/>
    <w:basedOn w:val="1027"/>
    <w:next w:val="1029"/>
    <w:link w:val="1093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30">
    <w:name w:val="Заголовок 3"/>
    <w:basedOn w:val="1027"/>
    <w:next w:val="1027"/>
    <w:link w:val="1098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31">
    <w:name w:val="Заголовок 4"/>
    <w:basedOn w:val="1027"/>
    <w:next w:val="1027"/>
    <w:link w:val="1097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32">
    <w:name w:val="Основной шрифт абзаца"/>
    <w:next w:val="1032"/>
    <w:link w:val="1027"/>
    <w:semiHidden/>
  </w:style>
  <w:style w:type="table" w:styleId="1033">
    <w:name w:val="Обычная таблица"/>
    <w:next w:val="1033"/>
    <w:link w:val="1027"/>
    <w:uiPriority w:val="99"/>
    <w:semiHidden/>
    <w:unhideWhenUsed/>
    <w:tblPr/>
  </w:style>
  <w:style w:type="numbering" w:styleId="1034">
    <w:name w:val="Нет списка"/>
    <w:next w:val="1034"/>
    <w:link w:val="1027"/>
    <w:uiPriority w:val="99"/>
    <w:semiHidden/>
    <w:unhideWhenUsed/>
  </w:style>
  <w:style w:type="character" w:styleId="1035">
    <w:name w:val="Основной шрифт абзаца6"/>
    <w:next w:val="1035"/>
    <w:link w:val="1027"/>
  </w:style>
  <w:style w:type="character" w:styleId="1036">
    <w:name w:val="Основной шрифт абзаца5"/>
    <w:next w:val="1036"/>
    <w:link w:val="1027"/>
  </w:style>
  <w:style w:type="character" w:styleId="1037">
    <w:name w:val="Основной шрифт абзаца4"/>
    <w:next w:val="1037"/>
    <w:link w:val="1027"/>
  </w:style>
  <w:style w:type="character" w:styleId="1038">
    <w:name w:val="Absatz-Standardschriftart"/>
    <w:next w:val="1038"/>
    <w:link w:val="1027"/>
  </w:style>
  <w:style w:type="character" w:styleId="1039">
    <w:name w:val="WW-Absatz-Standardschriftart"/>
    <w:next w:val="1039"/>
    <w:link w:val="1027"/>
  </w:style>
  <w:style w:type="character" w:styleId="1040">
    <w:name w:val="Основной шрифт абзаца3"/>
    <w:next w:val="1040"/>
    <w:link w:val="1027"/>
  </w:style>
  <w:style w:type="character" w:styleId="1041">
    <w:name w:val="WW-Absatz-Standardschriftart1"/>
    <w:next w:val="1041"/>
    <w:link w:val="1027"/>
  </w:style>
  <w:style w:type="character" w:styleId="1042">
    <w:name w:val="Основной шрифт абзаца2"/>
    <w:next w:val="1042"/>
    <w:link w:val="1027"/>
  </w:style>
  <w:style w:type="character" w:styleId="1043">
    <w:name w:val="WW-Absatz-Standardschriftart11"/>
    <w:next w:val="1043"/>
    <w:link w:val="1027"/>
  </w:style>
  <w:style w:type="character" w:styleId="1044">
    <w:name w:val="Основной шрифт абзаца1"/>
    <w:next w:val="1044"/>
    <w:link w:val="1027"/>
  </w:style>
  <w:style w:type="character" w:styleId="1045">
    <w:name w:val="Îñíîâíîé øðèôò"/>
    <w:next w:val="1045"/>
    <w:link w:val="1027"/>
  </w:style>
  <w:style w:type="character" w:styleId="1046">
    <w:name w:val="Гиперссылка"/>
    <w:next w:val="1046"/>
    <w:link w:val="1027"/>
    <w:uiPriority w:val="99"/>
    <w:semiHidden/>
    <w:rPr>
      <w:color w:val="0000ff"/>
      <w:u w:val="single"/>
    </w:rPr>
  </w:style>
  <w:style w:type="character" w:styleId="1047">
    <w:name w:val="Просмотренная гиперссылка"/>
    <w:next w:val="1047"/>
    <w:link w:val="1027"/>
    <w:semiHidden/>
    <w:rPr>
      <w:color w:val="800080"/>
      <w:u w:val="single"/>
    </w:rPr>
  </w:style>
  <w:style w:type="paragraph" w:styleId="1048">
    <w:name w:val="Заголовок"/>
    <w:basedOn w:val="1027"/>
    <w:next w:val="1049"/>
    <w:link w:val="102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49">
    <w:name w:val="Основной текст"/>
    <w:basedOn w:val="1027"/>
    <w:next w:val="1049"/>
    <w:link w:val="1027"/>
    <w:semiHidden/>
    <w:rPr>
      <w:sz w:val="28"/>
    </w:rPr>
  </w:style>
  <w:style w:type="paragraph" w:styleId="1050">
    <w:name w:val="Список"/>
    <w:basedOn w:val="1049"/>
    <w:next w:val="1050"/>
    <w:link w:val="1027"/>
    <w:semiHidden/>
    <w:rPr>
      <w:rFonts w:ascii="Arial" w:hAnsi="Arial" w:cs="Tahoma"/>
    </w:rPr>
  </w:style>
  <w:style w:type="paragraph" w:styleId="1051">
    <w:name w:val="Название6"/>
    <w:basedOn w:val="1027"/>
    <w:next w:val="1051"/>
    <w:link w:val="102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52">
    <w:name w:val="Указатель6"/>
    <w:basedOn w:val="1027"/>
    <w:next w:val="1052"/>
    <w:link w:val="1027"/>
    <w:pPr>
      <w:suppressLineNumbers/>
    </w:pPr>
    <w:rPr>
      <w:rFonts w:ascii="Arial" w:hAnsi="Arial" w:cs="Tahoma"/>
    </w:rPr>
  </w:style>
  <w:style w:type="paragraph" w:styleId="1053">
    <w:name w:val="Название5"/>
    <w:basedOn w:val="1027"/>
    <w:next w:val="1053"/>
    <w:link w:val="102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54">
    <w:name w:val="Указатель5"/>
    <w:basedOn w:val="1027"/>
    <w:next w:val="1054"/>
    <w:link w:val="1027"/>
    <w:pPr>
      <w:suppressLineNumbers/>
    </w:pPr>
    <w:rPr>
      <w:rFonts w:ascii="Arial" w:hAnsi="Arial" w:cs="Tahoma"/>
    </w:rPr>
  </w:style>
  <w:style w:type="paragraph" w:styleId="1055">
    <w:name w:val="Название4"/>
    <w:basedOn w:val="1027"/>
    <w:next w:val="1055"/>
    <w:link w:val="102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56">
    <w:name w:val="Указатель4"/>
    <w:basedOn w:val="1027"/>
    <w:next w:val="1056"/>
    <w:link w:val="1027"/>
    <w:pPr>
      <w:suppressLineNumbers/>
    </w:pPr>
    <w:rPr>
      <w:rFonts w:ascii="Arial" w:hAnsi="Arial" w:cs="Tahoma"/>
    </w:rPr>
  </w:style>
  <w:style w:type="paragraph" w:styleId="1057">
    <w:name w:val="Название3"/>
    <w:basedOn w:val="1027"/>
    <w:next w:val="1057"/>
    <w:link w:val="102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58">
    <w:name w:val="Указатель3"/>
    <w:basedOn w:val="1027"/>
    <w:next w:val="1058"/>
    <w:link w:val="1027"/>
    <w:pPr>
      <w:suppressLineNumbers/>
    </w:pPr>
    <w:rPr>
      <w:rFonts w:ascii="Arial" w:hAnsi="Arial" w:cs="Tahoma"/>
    </w:rPr>
  </w:style>
  <w:style w:type="paragraph" w:styleId="1059">
    <w:name w:val="Название2"/>
    <w:basedOn w:val="1027"/>
    <w:next w:val="1059"/>
    <w:link w:val="102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0">
    <w:name w:val="Указатель2"/>
    <w:basedOn w:val="1027"/>
    <w:next w:val="1060"/>
    <w:link w:val="1027"/>
    <w:pPr>
      <w:suppressLineNumbers/>
    </w:pPr>
    <w:rPr>
      <w:rFonts w:ascii="Arial" w:hAnsi="Arial" w:cs="Tahoma"/>
    </w:rPr>
  </w:style>
  <w:style w:type="paragraph" w:styleId="1061">
    <w:name w:val="Название1"/>
    <w:basedOn w:val="1027"/>
    <w:next w:val="1061"/>
    <w:link w:val="102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62">
    <w:name w:val="Указатель1"/>
    <w:basedOn w:val="1027"/>
    <w:next w:val="1062"/>
    <w:link w:val="1027"/>
    <w:pPr>
      <w:suppressLineNumbers/>
    </w:pPr>
    <w:rPr>
      <w:rFonts w:ascii="Arial" w:hAnsi="Arial" w:cs="Tahoma"/>
    </w:rPr>
  </w:style>
  <w:style w:type="paragraph" w:styleId="1063">
    <w:name w:val="Верхний колонтитул"/>
    <w:basedOn w:val="1027"/>
    <w:next w:val="1063"/>
    <w:link w:val="1070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64">
    <w:name w:val="Нижний колонтитул"/>
    <w:basedOn w:val="1027"/>
    <w:next w:val="1064"/>
    <w:link w:val="1071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65">
    <w:name w:val="Текст выноски"/>
    <w:basedOn w:val="1027"/>
    <w:next w:val="1065"/>
    <w:link w:val="1027"/>
    <w:rPr>
      <w:rFonts w:ascii="Tahoma" w:hAnsi="Tahoma" w:cs="Tahoma"/>
      <w:sz w:val="16"/>
      <w:szCs w:val="16"/>
    </w:rPr>
  </w:style>
  <w:style w:type="paragraph" w:styleId="1066">
    <w:name w:val="Содержимое таблицы"/>
    <w:basedOn w:val="1027"/>
    <w:next w:val="1066"/>
    <w:link w:val="1027"/>
    <w:pPr>
      <w:suppressLineNumbers/>
    </w:pPr>
  </w:style>
  <w:style w:type="paragraph" w:styleId="1067">
    <w:name w:val="Заголовок таблицы"/>
    <w:basedOn w:val="1066"/>
    <w:next w:val="1067"/>
    <w:link w:val="1027"/>
    <w:pPr>
      <w:jc w:val="center"/>
      <w:suppressLineNumbers/>
    </w:pPr>
    <w:rPr>
      <w:b/>
      <w:bCs/>
    </w:rPr>
  </w:style>
  <w:style w:type="paragraph" w:styleId="1068">
    <w:name w:val="Содержимое врезки"/>
    <w:basedOn w:val="1049"/>
    <w:next w:val="1068"/>
    <w:link w:val="1027"/>
  </w:style>
  <w:style w:type="table" w:styleId="1069">
    <w:name w:val="Сетка таблицы"/>
    <w:basedOn w:val="1033"/>
    <w:next w:val="1069"/>
    <w:link w:val="1027"/>
    <w:tblPr/>
  </w:style>
  <w:style w:type="character" w:styleId="1070">
    <w:name w:val="Верхний колонтитул Знак"/>
    <w:next w:val="1070"/>
    <w:link w:val="1063"/>
    <w:rPr>
      <w:lang w:eastAsia="ar-SA"/>
    </w:rPr>
  </w:style>
  <w:style w:type="character" w:styleId="1071">
    <w:name w:val="Нижний колонтитул Знак"/>
    <w:next w:val="1071"/>
    <w:link w:val="1064"/>
    <w:rPr>
      <w:lang w:eastAsia="ar-SA"/>
    </w:rPr>
  </w:style>
  <w:style w:type="character" w:styleId="1072">
    <w:name w:val="Номер страницы"/>
    <w:basedOn w:val="1032"/>
    <w:next w:val="1072"/>
    <w:link w:val="1027"/>
  </w:style>
  <w:style w:type="character" w:styleId="1073">
    <w:name w:val="Основной текст + 16,5 pt2,Курсив1,Основной текст + 10"/>
    <w:next w:val="1073"/>
    <w:link w:val="1027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074">
    <w:name w:val="Основной текст (3)_"/>
    <w:next w:val="1074"/>
    <w:link w:val="1075"/>
    <w:rPr>
      <w:sz w:val="22"/>
      <w:szCs w:val="22"/>
      <w:shd w:val="clear" w:color="auto" w:fill="ffffff"/>
    </w:rPr>
  </w:style>
  <w:style w:type="paragraph" w:styleId="1075">
    <w:name w:val="Основной текст (3)"/>
    <w:basedOn w:val="1027"/>
    <w:next w:val="1075"/>
    <w:link w:val="1074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076">
    <w:name w:val="Без интервала"/>
    <w:next w:val="1076"/>
    <w:link w:val="102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077">
    <w:name w:val="Font Style13"/>
    <w:next w:val="1077"/>
    <w:link w:val="1027"/>
    <w:rPr>
      <w:rFonts w:ascii="Times New Roman" w:hAnsi="Times New Roman" w:cs="Times New Roman"/>
      <w:sz w:val="26"/>
      <w:szCs w:val="26"/>
    </w:rPr>
  </w:style>
  <w:style w:type="paragraph" w:styleId="1078">
    <w:name w:val="Обычный (веб)"/>
    <w:basedOn w:val="1027"/>
    <w:next w:val="1078"/>
    <w:link w:val="1027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79">
    <w:name w:val="apple-converted-space"/>
    <w:next w:val="1079"/>
    <w:link w:val="1027"/>
  </w:style>
  <w:style w:type="character" w:styleId="1080">
    <w:name w:val="Font Style18"/>
    <w:next w:val="1080"/>
    <w:link w:val="1027"/>
    <w:uiPriority w:val="99"/>
    <w:rPr>
      <w:rFonts w:ascii="Times New Roman" w:hAnsi="Times New Roman" w:cs="Times New Roman"/>
      <w:sz w:val="26"/>
      <w:szCs w:val="26"/>
    </w:rPr>
  </w:style>
  <w:style w:type="paragraph" w:styleId="1081">
    <w:name w:val="Основной текст с отступом"/>
    <w:basedOn w:val="1027"/>
    <w:next w:val="1081"/>
    <w:link w:val="1082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082">
    <w:name w:val="Основной текст с отступом Знак"/>
    <w:next w:val="1082"/>
    <w:link w:val="1081"/>
    <w:uiPriority w:val="99"/>
    <w:rPr>
      <w:color w:val="000000"/>
      <w:sz w:val="28"/>
      <w:szCs w:val="28"/>
      <w:lang w:eastAsia="ar-SA"/>
    </w:rPr>
  </w:style>
  <w:style w:type="paragraph" w:styleId="1083">
    <w:name w:val="ConsPlusNormal"/>
    <w:next w:val="1083"/>
    <w:link w:val="108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084">
    <w:name w:val="ConsPlusNormal Знак"/>
    <w:next w:val="1084"/>
    <w:link w:val="1083"/>
    <w:rPr>
      <w:rFonts w:ascii="Arial" w:hAnsi="Arial" w:cs="Arial"/>
      <w:lang w:val="ru-RU" w:eastAsia="ru-RU" w:bidi="ar-SA"/>
    </w:rPr>
  </w:style>
  <w:style w:type="paragraph" w:styleId="1085">
    <w:name w:val="Основной текст с отступом 2"/>
    <w:basedOn w:val="1027"/>
    <w:next w:val="1085"/>
    <w:link w:val="1086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086">
    <w:name w:val="Основной текст с отступом 2 Знак"/>
    <w:next w:val="1086"/>
    <w:link w:val="1085"/>
    <w:uiPriority w:val="99"/>
    <w:rPr>
      <w:color w:val="000000"/>
      <w:sz w:val="26"/>
      <w:szCs w:val="26"/>
      <w:lang w:eastAsia="ar-SA"/>
    </w:rPr>
  </w:style>
  <w:style w:type="character" w:styleId="1087">
    <w:name w:val="Знак примечания"/>
    <w:next w:val="1087"/>
    <w:link w:val="1027"/>
    <w:uiPriority w:val="99"/>
    <w:semiHidden/>
    <w:unhideWhenUsed/>
    <w:rPr>
      <w:sz w:val="16"/>
      <w:szCs w:val="16"/>
    </w:rPr>
  </w:style>
  <w:style w:type="paragraph" w:styleId="1088">
    <w:name w:val="Текст примечания"/>
    <w:basedOn w:val="1027"/>
    <w:next w:val="1088"/>
    <w:link w:val="1089"/>
    <w:uiPriority w:val="99"/>
    <w:semiHidden/>
    <w:unhideWhenUsed/>
  </w:style>
  <w:style w:type="character" w:styleId="1089">
    <w:name w:val="Текст примечания Знак"/>
    <w:next w:val="1089"/>
    <w:link w:val="1088"/>
    <w:uiPriority w:val="99"/>
    <w:semiHidden/>
    <w:rPr>
      <w:lang w:eastAsia="ar-SA"/>
    </w:rPr>
  </w:style>
  <w:style w:type="paragraph" w:styleId="1090">
    <w:name w:val="Тема примечания"/>
    <w:basedOn w:val="1088"/>
    <w:next w:val="1088"/>
    <w:link w:val="1091"/>
    <w:uiPriority w:val="99"/>
    <w:semiHidden/>
    <w:unhideWhenUsed/>
    <w:rPr>
      <w:b/>
      <w:bCs/>
    </w:rPr>
  </w:style>
  <w:style w:type="character" w:styleId="1091">
    <w:name w:val="Тема примечания Знак"/>
    <w:next w:val="1091"/>
    <w:link w:val="1090"/>
    <w:uiPriority w:val="99"/>
    <w:semiHidden/>
    <w:rPr>
      <w:b/>
      <w:bCs/>
      <w:lang w:eastAsia="ar-SA"/>
    </w:rPr>
  </w:style>
  <w:style w:type="character" w:styleId="1092">
    <w:name w:val="Строгий"/>
    <w:next w:val="1092"/>
    <w:link w:val="1027"/>
    <w:uiPriority w:val="22"/>
    <w:qFormat/>
    <w:rPr>
      <w:b/>
      <w:bCs/>
    </w:rPr>
  </w:style>
  <w:style w:type="character" w:styleId="1093">
    <w:name w:val="Заголовок 2 Знак"/>
    <w:next w:val="1093"/>
    <w:link w:val="1029"/>
    <w:uiPriority w:val="9"/>
    <w:rPr>
      <w:b/>
      <w:bCs/>
      <w:sz w:val="36"/>
      <w:szCs w:val="36"/>
    </w:rPr>
  </w:style>
  <w:style w:type="paragraph" w:styleId="1094">
    <w:name w:val="paragraph"/>
    <w:basedOn w:val="1027"/>
    <w:next w:val="1094"/>
    <w:link w:val="102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95">
    <w:name w:val="Заголовок 1 Знак"/>
    <w:next w:val="1095"/>
    <w:link w:val="1028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096">
    <w:name w:val="b-article__text"/>
    <w:basedOn w:val="1027"/>
    <w:next w:val="1096"/>
    <w:link w:val="102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97">
    <w:name w:val="Заголовок 4 Знак"/>
    <w:next w:val="1097"/>
    <w:link w:val="1031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098">
    <w:name w:val="Заголовок 3 Знак"/>
    <w:next w:val="1098"/>
    <w:link w:val="1030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099">
    <w:name w:val="Абзац списка"/>
    <w:basedOn w:val="1027"/>
    <w:next w:val="1099"/>
    <w:link w:val="1027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0">
    <w:name w:val="Header"/>
    <w:next w:val="1100"/>
    <w:link w:val="1027"/>
  </w:style>
  <w:style w:type="character" w:styleId="1101">
    <w:name w:val="Title"/>
    <w:next w:val="1101"/>
    <w:link w:val="1027"/>
  </w:style>
  <w:style w:type="character" w:styleId="1102">
    <w:name w:val="dashed"/>
    <w:next w:val="1102"/>
    <w:link w:val="1027"/>
  </w:style>
  <w:style w:type="character" w:styleId="1103">
    <w:name w:val="buttons"/>
    <w:next w:val="1103"/>
    <w:link w:val="1027"/>
  </w:style>
  <w:style w:type="paragraph" w:styleId="1104">
    <w:name w:val="float"/>
    <w:basedOn w:val="1027"/>
    <w:next w:val="1104"/>
    <w:link w:val="102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5">
    <w:name w:val="Caption"/>
    <w:next w:val="1105"/>
    <w:link w:val="1027"/>
  </w:style>
  <w:style w:type="character" w:styleId="1106">
    <w:name w:val="time"/>
    <w:next w:val="1106"/>
    <w:link w:val="1027"/>
  </w:style>
  <w:style w:type="character" w:styleId="1107">
    <w:name w:val="i18n"/>
    <w:next w:val="1107"/>
    <w:link w:val="1027"/>
  </w:style>
  <w:style w:type="paragraph" w:styleId="1108">
    <w:name w:val="z-Начало формы"/>
    <w:basedOn w:val="1027"/>
    <w:next w:val="1027"/>
    <w:link w:val="1109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09">
    <w:name w:val="z-Начало формы Знак"/>
    <w:next w:val="1109"/>
    <w:link w:val="1108"/>
    <w:uiPriority w:val="99"/>
    <w:semiHidden/>
    <w:rPr>
      <w:rFonts w:ascii="Arial" w:hAnsi="Arial" w:cs="Arial"/>
      <w:vanish/>
      <w:sz w:val="16"/>
      <w:szCs w:val="16"/>
    </w:rPr>
  </w:style>
  <w:style w:type="paragraph" w:styleId="1110">
    <w:name w:val="z-Конец формы"/>
    <w:basedOn w:val="1027"/>
    <w:next w:val="1027"/>
    <w:link w:val="1111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11">
    <w:name w:val="z-Конец формы Знак"/>
    <w:next w:val="1111"/>
    <w:link w:val="1110"/>
    <w:uiPriority w:val="99"/>
    <w:semiHidden/>
    <w:rPr>
      <w:rFonts w:ascii="Arial" w:hAnsi="Arial" w:cs="Arial"/>
      <w:vanish/>
      <w:sz w:val="16"/>
      <w:szCs w:val="16"/>
    </w:rPr>
  </w:style>
  <w:style w:type="character" w:styleId="1112">
    <w:name w:val="message-time"/>
    <w:next w:val="1112"/>
    <w:link w:val="1027"/>
  </w:style>
  <w:style w:type="character" w:styleId="1113" w:default="1">
    <w:name w:val="Default Paragraph Font"/>
    <w:uiPriority w:val="1"/>
    <w:semiHidden/>
    <w:unhideWhenUsed/>
  </w:style>
  <w:style w:type="numbering" w:styleId="1114" w:default="1">
    <w:name w:val="No List"/>
    <w:uiPriority w:val="99"/>
    <w:semiHidden/>
    <w:unhideWhenUsed/>
  </w:style>
  <w:style w:type="table" w:styleId="11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https://gisp.gov.ru/nmp/measure/124488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adminloc</cp:lastModifiedBy>
  <cp:revision>63</cp:revision>
  <dcterms:created xsi:type="dcterms:W3CDTF">2023-12-05T08:05:00Z</dcterms:created>
  <dcterms:modified xsi:type="dcterms:W3CDTF">2025-05-14T06:29:30Z</dcterms:modified>
  <cp:version>917504</cp:version>
</cp:coreProperties>
</file>